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FDA78" w14:textId="35CE5165" w:rsidR="00BC4CB9" w:rsidRPr="00BC4CB9" w:rsidRDefault="00BC4CB9" w:rsidP="00BC4CB9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BC4CB9">
        <w:rPr>
          <w:rFonts w:ascii="Arial" w:hAnsi="Arial" w:cs="Arial"/>
          <w:b/>
          <w:bCs/>
          <w:color w:val="FF8400"/>
          <w:sz w:val="28"/>
          <w:szCs w:val="28"/>
          <w:shd w:val="clear" w:color="auto" w:fill="FFFFFF"/>
        </w:rPr>
        <w:t>El CX como factor clave de diferenciación y ventaja competitiva para aumentar los resultados de las organizaciones</w:t>
      </w:r>
    </w:p>
    <w:p w14:paraId="324B49B8" w14:textId="77777777" w:rsidR="00D22B3D" w:rsidRPr="009F64AF" w:rsidRDefault="00D22B3D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017DC4B1" w14:textId="77230E64" w:rsidR="00951ECB" w:rsidRPr="00DF1488" w:rsidRDefault="00BC4CB9" w:rsidP="00DF1488">
      <w:pPr>
        <w:pStyle w:val="Prrafodelista"/>
        <w:numPr>
          <w:ilvl w:val="0"/>
          <w:numId w:val="6"/>
        </w:numP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</w:pPr>
      <w:r w:rsidRPr="00BC4CB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 xml:space="preserve">Directivos de Iberdrola, Peugeot </w:t>
      </w:r>
      <w:proofErr w:type="spellStart"/>
      <w:r w:rsidRPr="00BC4CB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>Motocycles</w:t>
      </w:r>
      <w:proofErr w:type="spellEnd"/>
      <w:r w:rsidRPr="00BC4CB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>, El Ganso, Musgrave, 123tinta, Prisa y Splio debatirán sobre cómo abordar el reto de implementar una estrategia de cliente rentable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 xml:space="preserve">, </w:t>
      </w:r>
      <w:r w:rsidRPr="00BC4CB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 xml:space="preserve">eficaz y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 xml:space="preserve">que </w:t>
      </w:r>
      <w:r w:rsidRPr="00BC4CB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>se ejecute de forma transversal en toda la organización.</w:t>
      </w:r>
    </w:p>
    <w:p w14:paraId="4EB26A36" w14:textId="5B780C74" w:rsidR="00951ECB" w:rsidRDefault="00951ECB" w:rsidP="00F024E2">
      <w:pPr>
        <w:numPr>
          <w:ilvl w:val="0"/>
          <w:numId w:val="1"/>
        </w:numPr>
        <w:shd w:val="clear" w:color="auto" w:fill="FFFFFF"/>
        <w:spacing w:after="0" w:line="233" w:lineRule="atLeast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</w:pPr>
      <w:r w:rsidRPr="00951EC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 xml:space="preserve">Desarrollar una estrategia centrada en el cliente permite crear una ventaja competitiva sostenible en el tiempo e impulsar el crecimiento y </w:t>
      </w:r>
      <w:r w:rsidR="00BC4CB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 xml:space="preserve">la </w:t>
      </w:r>
      <w:r w:rsidRPr="00951EC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>rentabilidad del negocio.</w:t>
      </w:r>
    </w:p>
    <w:p w14:paraId="2782B641" w14:textId="77777777" w:rsidR="00BC4CB9" w:rsidRDefault="00BC4CB9" w:rsidP="00BC4CB9">
      <w:pPr>
        <w:shd w:val="clear" w:color="auto" w:fill="FFFFFF"/>
        <w:spacing w:after="0" w:line="233" w:lineRule="atLeast"/>
        <w:ind w:left="720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</w:pPr>
    </w:p>
    <w:p w14:paraId="2AEF56F9" w14:textId="0116E5BD" w:rsidR="00872DFF" w:rsidRPr="009F64AF" w:rsidRDefault="00872DFF" w:rsidP="00F024E2">
      <w:pPr>
        <w:numPr>
          <w:ilvl w:val="0"/>
          <w:numId w:val="2"/>
        </w:numPr>
        <w:shd w:val="clear" w:color="auto" w:fill="FFFFFF"/>
        <w:spacing w:line="23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es-ES"/>
        </w:rPr>
      </w:pPr>
      <w:r w:rsidRPr="009F64A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>Digital CX Congress, el encuentro profesional de referencia sobre customer experience, se celebrará el 6 y 7 de octubre en un formato 100% digital</w:t>
      </w:r>
      <w:r w:rsidRPr="00F024E2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s-ES"/>
        </w:rPr>
        <w:t>.</w:t>
      </w:r>
    </w:p>
    <w:p w14:paraId="3AE8454E" w14:textId="77777777" w:rsidR="00872DFF" w:rsidRPr="009F64AF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ES"/>
        </w:rPr>
        <w:t> </w:t>
      </w:r>
    </w:p>
    <w:p w14:paraId="718AB5D1" w14:textId="40AB4F1F" w:rsidR="00523DFF" w:rsidRPr="00F024E2" w:rsidRDefault="00872DFF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29 de septiembre de 2021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 – En un contexto en el</w:t>
      </w:r>
      <w:r w:rsidR="00523DFF" w:rsidRPr="00F024E2">
        <w:rPr>
          <w:rFonts w:ascii="Calibri" w:hAnsi="Calibri" w:cs="Calibri"/>
          <w:sz w:val="24"/>
          <w:szCs w:val="24"/>
        </w:rPr>
        <w:t xml:space="preserve"> </w:t>
      </w:r>
      <w:r w:rsidR="00523DFF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que el consumidor espera recibir de las marcas un trato personalizado y unificado en todos los canales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cada vez son más las compañías que buscan utilizar de forma adecuada todos los recursos a su disposición para descubrir qué guía y motiva el comportamiento de cada </w:t>
      </w:r>
      <w:r w:rsidR="00951ECB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usuario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 </w:t>
      </w:r>
    </w:p>
    <w:p w14:paraId="063EC813" w14:textId="054C0BBE" w:rsidR="00523DFF" w:rsidRPr="00F024E2" w:rsidRDefault="00523DFF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5EC5DD6B" w14:textId="4BE05B85" w:rsidR="00BC4CB9" w:rsidRPr="00F024E2" w:rsidRDefault="00D22B3D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Desarrollar una estrategia centrada en el cliente permite crear y mantener una ventaja competitiva sostenible en el tiempo e impulsar el crecimiento y </w:t>
      </w:r>
      <w:r w:rsidR="00BC4CB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rentabilidad del negocio,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dos aspectos esenciales en entornos </w:t>
      </w:r>
      <w:r w:rsidR="00BC4CB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de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cambio constante como el actual.</w:t>
      </w:r>
    </w:p>
    <w:p w14:paraId="2EA3C28B" w14:textId="77777777" w:rsidR="00D22B3D" w:rsidRPr="00F024E2" w:rsidRDefault="00D22B3D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1B02BDA4" w14:textId="0E9DE6C8" w:rsidR="00BC4CB9" w:rsidRPr="00F024E2" w:rsidRDefault="00D22B3D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Tener en cuenta el enfoque al cliente en todas las etapas e interacciones del </w:t>
      </w:r>
      <w:r w:rsidRPr="00F024E2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customer </w:t>
      </w:r>
      <w:proofErr w:type="spellStart"/>
      <w:r w:rsidRPr="00F024E2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journey</w:t>
      </w:r>
      <w:proofErr w:type="spellEnd"/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es esencial para crear experiencias que permitan construir relaciones de valor basadas en la confianza, la responsabilidad y la comunicación </w:t>
      </w:r>
      <w:r w:rsidR="00BC4CB9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continua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 La omnicanalidad, la automatización y una estrategia basada en soluciones de fidelización son elementos clave para lograr mantener el engagement con las marcas, ofrecer una verdadera experiencia que cumpla con las expectativas del consumidor y alcanzar los objetivos de crecimiento y diferenciación. En este sentido, la implementación de soluciones tecnológicas</w:t>
      </w:r>
      <w:r w:rsidR="00F024E2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como la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F024E2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IA, </w:t>
      </w:r>
      <w:proofErr w:type="spellStart"/>
      <w:r w:rsidR="00F024E2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chatbots</w:t>
      </w:r>
      <w:proofErr w:type="spellEnd"/>
      <w:r w:rsidR="00F024E2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o el real time data, entre otras, contribuyen a agilizar y optimizar la experiencia del cliente. </w:t>
      </w:r>
    </w:p>
    <w:p w14:paraId="7224E72A" w14:textId="77777777" w:rsidR="00872DFF" w:rsidRPr="009F64AF" w:rsidRDefault="00872DFF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</w:p>
    <w:p w14:paraId="0CC519D7" w14:textId="6B6B30F3" w:rsidR="00872DFF" w:rsidRPr="00F024E2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Este será el hilo conductor de la mesa de debate </w:t>
      </w:r>
      <w:r w:rsidRPr="009F64AF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‘CX, factor clave de diferenciación y ventaja competitiva para aumentar los resultados de las organizaciones</w:t>
      </w:r>
      <w:r w:rsidRPr="009F64AF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’ 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de</w:t>
      </w:r>
      <w:r w:rsidRPr="00F024E2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hyperlink r:id="rId7" w:tgtFrame="_blank" w:history="1">
        <w:r w:rsidRPr="009F64AF">
          <w:rPr>
            <w:rFonts w:ascii="Calibri" w:eastAsia="Times New Roman" w:hAnsi="Calibri" w:cs="Calibri"/>
            <w:b/>
            <w:bCs/>
            <w:color w:val="ED7D31"/>
            <w:sz w:val="24"/>
            <w:szCs w:val="24"/>
            <w:u w:val="single"/>
            <w:lang w:eastAsia="es-ES"/>
          </w:rPr>
          <w:t>Digital CX Congress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</w:t>
      </w:r>
      <w:r w:rsidRPr="00F024E2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el encuentro profesional de referencia sobre experiencia de cliente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organizado por Dir&amp;Ge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que se celebrará los días 6 y 7 de octubre en formato 100% digital.</w:t>
      </w:r>
    </w:p>
    <w:p w14:paraId="0A41CF22" w14:textId="77777777" w:rsidR="00872DFF" w:rsidRPr="009F64AF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6867ECDB" w14:textId="6143470D" w:rsidR="006673D7" w:rsidRPr="009F64AF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 mesa de debate contará con la participación de Raquel González, Head of Customer Experience de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Iberdrola Clientes;</w:t>
      </w:r>
      <w:r w:rsidR="004303F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Alejandra Fraile, Directora de Marketing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lastRenderedPageBreak/>
        <w:t>de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Musgrave;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Priscilla 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Sellier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Marketing &amp; Communication Manager de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Peugeot </w:t>
      </w:r>
      <w:proofErr w:type="spellStart"/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Motocycles</w:t>
      </w:r>
      <w:proofErr w:type="spellEnd"/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;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Lola López, Directora de Marketing Digital, Branding, Innovación y Nuevos Proyectos de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El Ganso;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Miguel Ángel Domínguez, Gerente del Canal SER Publicidad y Estrategia CRM de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PRISA</w:t>
      </w:r>
      <w:r w:rsidR="004303F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;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Jorge Ramírez, 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Ecommerce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Manager</w:t>
      </w:r>
      <w:r w:rsidR="004303F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de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 123tinta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y</w:t>
      </w:r>
      <w:r w:rsidR="00E0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moderación de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Sergi Pastor, Country Manager Spain de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Splio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707AA363" w14:textId="2BDAF5DE" w:rsidR="00523DFF" w:rsidRPr="00F024E2" w:rsidRDefault="00523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11C5E4DB" w14:textId="77777777" w:rsidR="00523DFF" w:rsidRPr="00EE01C3" w:rsidRDefault="00523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Para implementar una estrategia de experiencia de cliente exitosa, es importante analizar las distintas acciones que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impliquen un contacto con 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el usuario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tanto positivas como negativas, así como crear nuevos puntos de interacción que supongan una fuente de valor para el cliente y que ayuden a posicionar nuestra marca</w:t>
      </w:r>
      <w:r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. </w:t>
      </w:r>
      <w:r w:rsidRPr="00EE01C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El reto radica en implantar una estrategia rentable y sostenible, que realmente sea eficaz, y se ejecute en toda la organización.</w:t>
      </w:r>
    </w:p>
    <w:p w14:paraId="163C3858" w14:textId="38007943" w:rsidR="00872DFF" w:rsidRPr="009F64AF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51BB3E63" w14:textId="616D5AC7" w:rsidR="00EE01C3" w:rsidRPr="00EE01C3" w:rsidRDefault="00872DFF" w:rsidP="00F024E2">
      <w:pPr>
        <w:shd w:val="clear" w:color="auto" w:fill="FFFFFF"/>
        <w:spacing w:after="48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 transformación hacia un modelo de Customer Experience ofrece a las organizaciones muchas oportunidades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para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crear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valor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 y superar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las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expectativas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del cliente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. 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En este sentido,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brindarle experiencias personalizadas a través de los distintos canales,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genera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beneficios en términos de lealtad, productividad, eficiencia y un mayor retorno de la inversión para las compañías.</w:t>
      </w:r>
      <w:r w:rsidR="00961B7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Para ello, es imprescindible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fomentar una gestión transversal que favorezca la consecución de objetivos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y el desarrollo efectivo de las distintas iniciativas. Asimismo, es </w:t>
      </w:r>
      <w:r w:rsidR="00782566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primordial involucrar a todos los niveles de la organización para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que los empleados </w:t>
      </w:r>
      <w:r w:rsidR="006673D7"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gestionen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los </w:t>
      </w:r>
      <w:r w:rsidR="006673D7"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indicadores de </w:t>
      </w:r>
      <w:r w:rsidR="004303F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CX</w:t>
      </w:r>
      <w:r w:rsidR="006673D7"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de negocio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con el fin de que puedan</w:t>
      </w:r>
      <w:r w:rsidR="006673D7"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6673D7" w:rsidRPr="00F024E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garantizar</w:t>
      </w:r>
      <w:r w:rsidR="006673D7"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la homogeneidad de la experiencia que percibe el cliente. </w:t>
      </w:r>
      <w:r w:rsidR="00EE01C3" w:rsidRPr="00EE01C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</w:p>
    <w:p w14:paraId="3A31DAB1" w14:textId="77777777" w:rsidR="00EE01C3" w:rsidRPr="00EE01C3" w:rsidRDefault="00EE01C3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EE01C3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</w:p>
    <w:p w14:paraId="403F56AD" w14:textId="77777777" w:rsidR="00EE01C3" w:rsidRPr="009F64AF" w:rsidRDefault="00EE01C3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7B9FF21D" w14:textId="2121DC5D" w:rsidR="00872DFF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4"/>
          <w:szCs w:val="24"/>
          <w:u w:val="single"/>
          <w:lang w:eastAsia="es-ES"/>
        </w:rPr>
      </w:pPr>
      <w:r w:rsidRPr="009F64AF">
        <w:rPr>
          <w:rFonts w:ascii="Calibri" w:eastAsia="Times New Roman" w:hAnsi="Calibri" w:cs="Calibri"/>
          <w:b/>
          <w:bCs/>
          <w:color w:val="FF8400"/>
          <w:sz w:val="24"/>
          <w:szCs w:val="24"/>
          <w:u w:val="single"/>
          <w:lang w:eastAsia="es-ES"/>
        </w:rPr>
        <w:t>Claves para mejorar el engagement del consumidor</w:t>
      </w:r>
    </w:p>
    <w:p w14:paraId="2B0F9927" w14:textId="77777777" w:rsidR="000465A8" w:rsidRPr="009F64AF" w:rsidRDefault="000465A8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42184210" w14:textId="5E0A0228" w:rsidR="00872DFF" w:rsidRPr="009F64AF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Digital CX Congress completa su agenda con ponencias, casos de éxito y workshops ofrecidos por profesionales y marcas destacadas como 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Ikea, Unilever, ManoMano, Volkswagen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o</w:t>
      </w: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 </w:t>
      </w:r>
      <w:r w:rsidRPr="00F024E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Fashionalia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entre otras, que compartirán sus experiencias y best practices para reforzar la relación con el consumidor y lograr aumentar las conversiones.</w:t>
      </w:r>
      <w:bookmarkStart w:id="0" w:name="m_-4304657838191749032__Hlk68539885"/>
      <w:bookmarkEnd w:id="0"/>
    </w:p>
    <w:p w14:paraId="301C190C" w14:textId="77777777" w:rsidR="000465A8" w:rsidRDefault="000465A8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</w:p>
    <w:p w14:paraId="11F919C6" w14:textId="5F3D49AE" w:rsidR="00872DFF" w:rsidRPr="00F024E2" w:rsidRDefault="00872DFF" w:rsidP="00F024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F64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Digital CX Congress 2021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cuenta con el impulso de </w:t>
      </w:r>
      <w:hyperlink r:id="rId8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u w:val="single"/>
            <w:lang w:eastAsia="es-ES"/>
          </w:rPr>
          <w:t>Oracle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begin"/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instrText xml:space="preserve"> HYPERLINK "https://www.microstrategy.com/es" \t "_blank" </w:instrTex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separate"/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MicroStrategy</w:t>
      </w:r>
      <w:proofErr w:type="spellEnd"/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. IntelligenceEverywhere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end"/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9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Zendesk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10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Klarna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11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ESIC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  <w:hyperlink r:id="rId12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Inbenta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13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Masvoz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14" w:tgtFrame="_blank" w:history="1">
        <w:r w:rsidRPr="009F64AF">
          <w:rPr>
            <w:rFonts w:ascii="Calibri" w:eastAsia="Times New Roman" w:hAnsi="Calibri" w:cs="Calibri"/>
            <w:color w:val="FF8400"/>
            <w:sz w:val="24"/>
            <w:szCs w:val="24"/>
            <w:lang w:eastAsia="es-ES"/>
          </w:rPr>
          <w:t>SAP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, </w:t>
      </w:r>
      <w:hyperlink r:id="rId15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Splio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</w:t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hyperlink r:id="rId16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Infobip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; </w:t>
      </w:r>
      <w:r w:rsidR="000465A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17" w:tgtFrame="_blank" w:history="1">
        <w:proofErr w:type="spellStart"/>
        <w:r w:rsidR="000465A8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E</w:t>
        </w:r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venttia</w:t>
        </w:r>
        <w:proofErr w:type="spellEnd"/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Partner Tecnológico; 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begin"/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instrText xml:space="preserve"> HYPERLINK "https://es.semrush.com/" \t "_blank" </w:instrTex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separate"/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Semrush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end"/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como Sponsor;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la colaboración de </w:t>
      </w:r>
      <w:hyperlink r:id="rId18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Actitud de Comunicación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Agencia Oficial de Comunicación; </w:t>
      </w:r>
      <w:hyperlink r:id="rId19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Smartbox Business Solutions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como Experience Partner; 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begin"/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instrText xml:space="preserve"> HYPERLINK "https://www.birchbox.es/" \t "_blank" </w:instrTex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separate"/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Birchbox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end"/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Gift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Partner</w:t>
      </w:r>
      <w:r w:rsidRPr="009F64AF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; </w:t>
      </w:r>
      <w:hyperlink r:id="rId20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Cyberclick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como Agencia Oficial de Marketing Digital; </w:t>
      </w:r>
      <w:hyperlink r:id="rId21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Asociación de Marketing de España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22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 xml:space="preserve">Urban </w:t>
        </w:r>
        <w:proofErr w:type="spellStart"/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Event</w:t>
        </w:r>
        <w:proofErr w:type="spellEnd"/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 xml:space="preserve"> Marketing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begin"/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instrText xml:space="preserve"> HYPERLINK "https://openexpoeurope.com/es/" \t "_blank" </w:instrTex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separate"/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OpenExpo</w:t>
      </w:r>
      <w:proofErr w:type="spellEnd"/>
      <w:r w:rsidR="00F024E2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 xml:space="preserve"> </w:t>
      </w:r>
      <w:proofErr w:type="spellStart"/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Europe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fldChar w:fldCharType="end"/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23" w:tgtFrame="_blank" w:history="1">
        <w:r w:rsidRPr="009F64AF">
          <w:rPr>
            <w:rFonts w:ascii="Calibri" w:eastAsia="Times New Roman" w:hAnsi="Calibri" w:cs="Calibri"/>
            <w:color w:val="FF8400"/>
            <w:sz w:val="24"/>
            <w:szCs w:val="24"/>
            <w:lang w:eastAsia="es-ES"/>
          </w:rPr>
          <w:t>EDVE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24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Ediciones Pirámide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y</w:t>
      </w:r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hyperlink r:id="rId25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Anaya Multimedia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 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entidades colaboradoras y </w:t>
      </w:r>
      <w:hyperlink r:id="rId26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América Retail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27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Control Publicidad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28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Dirigentes Digital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29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Esencia de Marketing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30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Factoría del Futuro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1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Hi Retail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2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Interactiva Digital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3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La Publicidad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4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LataMarTech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5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Just</w:t>
        </w:r>
        <w:r w:rsidR="00F024E2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 xml:space="preserve"> </w:t>
        </w:r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Retail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6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 xml:space="preserve">Marketing </w:t>
        </w:r>
        <w:proofErr w:type="spellStart"/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Insider</w:t>
        </w:r>
        <w:proofErr w:type="spellEnd"/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 xml:space="preserve"> </w:t>
        </w:r>
        <w:proofErr w:type="spellStart"/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Review</w:t>
        </w:r>
        <w:proofErr w:type="spellEnd"/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7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Novologística.com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 </w:t>
      </w:r>
      <w:hyperlink r:id="rId38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Parada Visual</w:t>
        </w:r>
      </w:hyperlink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 </w:t>
      </w:r>
      <w:hyperlink r:id="rId39" w:tgtFrame="_blank" w:history="1">
        <w:r w:rsidRPr="009F64AF">
          <w:rPr>
            <w:rFonts w:ascii="Calibri" w:eastAsia="Times New Roman" w:hAnsi="Calibri" w:cs="Calibri"/>
            <w:color w:val="ED7D31"/>
            <w:sz w:val="24"/>
            <w:szCs w:val="24"/>
            <w:lang w:eastAsia="es-ES"/>
          </w:rPr>
          <w:t>Retail Actual</w:t>
        </w:r>
      </w:hyperlink>
      <w:r w:rsidRPr="009F64AF">
        <w:rPr>
          <w:rFonts w:ascii="Calibri" w:eastAsia="Times New Roman" w:hAnsi="Calibri" w:cs="Calibri"/>
          <w:color w:val="ED7D31"/>
          <w:sz w:val="24"/>
          <w:szCs w:val="24"/>
          <w:lang w:eastAsia="es-ES"/>
        </w:rPr>
        <w:t>,</w:t>
      </w:r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 como media </w:t>
      </w:r>
      <w:proofErr w:type="spellStart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partners</w:t>
      </w:r>
      <w:proofErr w:type="spellEnd"/>
      <w:r w:rsidRPr="009F64A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6E233145" w14:textId="77777777" w:rsidR="00872DFF" w:rsidRPr="00F024E2" w:rsidRDefault="00872DFF" w:rsidP="00F024E2">
      <w:pPr>
        <w:spacing w:after="0"/>
        <w:jc w:val="both"/>
        <w:rPr>
          <w:rFonts w:ascii="Calibri" w:hAnsi="Calibri" w:cs="Calibri"/>
          <w:b/>
          <w:bCs/>
          <w:color w:val="FF8400"/>
          <w:sz w:val="24"/>
          <w:szCs w:val="24"/>
          <w:u w:val="single"/>
        </w:rPr>
      </w:pPr>
    </w:p>
    <w:p w14:paraId="6C44A881" w14:textId="77777777" w:rsidR="00872DFF" w:rsidRPr="00F024E2" w:rsidRDefault="00872DFF" w:rsidP="00F024E2">
      <w:pPr>
        <w:spacing w:after="0"/>
        <w:jc w:val="both"/>
        <w:rPr>
          <w:rFonts w:ascii="Calibri" w:hAnsi="Calibri" w:cs="Calibri"/>
          <w:b/>
          <w:bCs/>
          <w:color w:val="FF8400"/>
          <w:sz w:val="24"/>
          <w:szCs w:val="24"/>
          <w:u w:val="single"/>
        </w:rPr>
      </w:pPr>
    </w:p>
    <w:p w14:paraId="263BA7A3" w14:textId="77777777" w:rsidR="00E036A4" w:rsidRDefault="00E036A4" w:rsidP="00F024E2">
      <w:pPr>
        <w:spacing w:after="0"/>
        <w:jc w:val="both"/>
        <w:rPr>
          <w:rFonts w:ascii="Calibri" w:hAnsi="Calibri" w:cs="Calibri"/>
          <w:b/>
          <w:bCs/>
          <w:color w:val="FF8400"/>
          <w:sz w:val="24"/>
          <w:szCs w:val="24"/>
          <w:u w:val="single"/>
        </w:rPr>
      </w:pPr>
    </w:p>
    <w:p w14:paraId="27E8D8E6" w14:textId="77777777" w:rsidR="00E036A4" w:rsidRDefault="00E036A4" w:rsidP="00F024E2">
      <w:pPr>
        <w:spacing w:after="0"/>
        <w:jc w:val="both"/>
        <w:rPr>
          <w:rFonts w:ascii="Calibri" w:hAnsi="Calibri" w:cs="Calibri"/>
          <w:b/>
          <w:bCs/>
          <w:color w:val="FF8400"/>
          <w:sz w:val="24"/>
          <w:szCs w:val="24"/>
          <w:u w:val="single"/>
        </w:rPr>
      </w:pPr>
    </w:p>
    <w:p w14:paraId="6F3440A4" w14:textId="599AEFA8" w:rsidR="00872DFF" w:rsidRPr="00F024E2" w:rsidRDefault="00872DFF" w:rsidP="00F024E2">
      <w:pPr>
        <w:spacing w:after="0"/>
        <w:jc w:val="both"/>
        <w:rPr>
          <w:rFonts w:ascii="Calibri" w:hAnsi="Calibri" w:cs="Calibri"/>
          <w:b/>
          <w:bCs/>
          <w:color w:val="FF8400"/>
          <w:sz w:val="24"/>
          <w:szCs w:val="24"/>
          <w:u w:val="single"/>
        </w:rPr>
      </w:pPr>
      <w:bookmarkStart w:id="1" w:name="_GoBack"/>
      <w:bookmarkEnd w:id="1"/>
      <w:r w:rsidRPr="00F024E2">
        <w:rPr>
          <w:rFonts w:ascii="Calibri" w:hAnsi="Calibri" w:cs="Calibri"/>
          <w:b/>
          <w:bCs/>
          <w:color w:val="FF8400"/>
          <w:sz w:val="24"/>
          <w:szCs w:val="24"/>
          <w:u w:val="single"/>
        </w:rPr>
        <w:lastRenderedPageBreak/>
        <w:t>Sobre Dir&amp;Ge</w:t>
      </w:r>
    </w:p>
    <w:p w14:paraId="42A0CF96" w14:textId="77777777" w:rsidR="00872DFF" w:rsidRPr="00F024E2" w:rsidRDefault="00872DFF" w:rsidP="00F024E2">
      <w:pPr>
        <w:spacing w:after="0"/>
        <w:jc w:val="both"/>
        <w:rPr>
          <w:rFonts w:ascii="Calibri" w:hAnsi="Calibri" w:cs="Calibri"/>
          <w:b/>
          <w:bCs/>
          <w:color w:val="FF8400"/>
          <w:sz w:val="24"/>
          <w:szCs w:val="24"/>
          <w:u w:val="single"/>
        </w:rPr>
      </w:pPr>
    </w:p>
    <w:p w14:paraId="2E4878A6" w14:textId="77777777" w:rsidR="00872DFF" w:rsidRPr="00F024E2" w:rsidRDefault="004D6761" w:rsidP="00F024E2">
      <w:pPr>
        <w:spacing w:after="0"/>
        <w:jc w:val="both"/>
        <w:rPr>
          <w:rFonts w:ascii="Calibri" w:hAnsi="Calibri" w:cs="Calibri"/>
          <w:sz w:val="24"/>
          <w:szCs w:val="24"/>
        </w:rPr>
      </w:pPr>
      <w:hyperlink r:id="rId40" w:history="1">
        <w:r w:rsidR="00872DFF" w:rsidRPr="00F024E2">
          <w:rPr>
            <w:rStyle w:val="Hipervnculo"/>
            <w:rFonts w:ascii="Calibri" w:hAnsi="Calibri" w:cs="Calibri"/>
            <w:color w:val="ED7D31" w:themeColor="accent2"/>
            <w:sz w:val="24"/>
            <w:szCs w:val="24"/>
          </w:rPr>
          <w:t>Dir&amp;Ge</w:t>
        </w:r>
      </w:hyperlink>
      <w:r w:rsidR="00872DFF" w:rsidRPr="00F024E2">
        <w:rPr>
          <w:rFonts w:ascii="Calibri" w:hAnsi="Calibri" w:cs="Calibri"/>
          <w:sz w:val="24"/>
          <w:szCs w:val="24"/>
        </w:rPr>
        <w:t xml:space="preserve"> es la plataforma líder del entorno directivo. Ofrece a los </w:t>
      </w:r>
      <w:r w:rsidR="00872DFF" w:rsidRPr="00F024E2">
        <w:rPr>
          <w:rFonts w:ascii="Calibri" w:hAnsi="Calibri" w:cs="Calibri"/>
          <w:i/>
          <w:iCs/>
          <w:sz w:val="24"/>
          <w:szCs w:val="24"/>
        </w:rPr>
        <w:t>decision makers</w:t>
      </w:r>
      <w:r w:rsidR="00872DFF" w:rsidRPr="00F024E2">
        <w:rPr>
          <w:rFonts w:ascii="Calibri" w:hAnsi="Calibri" w:cs="Calibri"/>
          <w:sz w:val="24"/>
          <w:szCs w:val="24"/>
        </w:rPr>
        <w:t xml:space="preserve"> de las compañías los mejores contenidos empresariales, encuentros B2B exclusivos y las </w:t>
      </w:r>
      <w:r w:rsidR="00872DFF" w:rsidRPr="00F024E2">
        <w:rPr>
          <w:rFonts w:ascii="Calibri" w:hAnsi="Calibri" w:cs="Calibri"/>
          <w:i/>
          <w:iCs/>
          <w:sz w:val="24"/>
          <w:szCs w:val="24"/>
        </w:rPr>
        <w:t>best practices</w:t>
      </w:r>
      <w:r w:rsidR="00872DFF" w:rsidRPr="00F024E2">
        <w:rPr>
          <w:rFonts w:ascii="Calibri" w:hAnsi="Calibri" w:cs="Calibri"/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5A707674" w14:textId="77777777" w:rsidR="00E564C8" w:rsidRPr="00F024E2" w:rsidRDefault="00E564C8" w:rsidP="00F024E2">
      <w:pPr>
        <w:jc w:val="both"/>
        <w:rPr>
          <w:rFonts w:ascii="Calibri" w:hAnsi="Calibri" w:cs="Calibri"/>
          <w:sz w:val="24"/>
          <w:szCs w:val="24"/>
        </w:rPr>
      </w:pPr>
    </w:p>
    <w:sectPr w:rsidR="00E564C8" w:rsidRPr="00F024E2">
      <w:headerReference w:type="default" r:id="rId4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DA374" w14:textId="77777777" w:rsidR="004D6761" w:rsidRDefault="004D6761" w:rsidP="00872DFF">
      <w:pPr>
        <w:spacing w:after="0" w:line="240" w:lineRule="auto"/>
      </w:pPr>
      <w:r>
        <w:separator/>
      </w:r>
    </w:p>
  </w:endnote>
  <w:endnote w:type="continuationSeparator" w:id="0">
    <w:p w14:paraId="3CB9DD2F" w14:textId="77777777" w:rsidR="004D6761" w:rsidRDefault="004D6761" w:rsidP="0087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15B3" w14:textId="77777777" w:rsidR="004D6761" w:rsidRDefault="004D6761" w:rsidP="00872DFF">
      <w:pPr>
        <w:spacing w:after="0" w:line="240" w:lineRule="auto"/>
      </w:pPr>
      <w:r>
        <w:separator/>
      </w:r>
    </w:p>
  </w:footnote>
  <w:footnote w:type="continuationSeparator" w:id="0">
    <w:p w14:paraId="04D8BC63" w14:textId="77777777" w:rsidR="004D6761" w:rsidRDefault="004D6761" w:rsidP="0087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C4CA9" w14:textId="6A38A45B" w:rsidR="00872DFF" w:rsidRDefault="00872D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A062308" wp14:editId="050CA18F">
          <wp:simplePos x="0" y="0"/>
          <wp:positionH relativeFrom="margin">
            <wp:posOffset>5097780</wp:posOffset>
          </wp:positionH>
          <wp:positionV relativeFrom="paragraph">
            <wp:posOffset>-335915</wp:posOffset>
          </wp:positionV>
          <wp:extent cx="1333575" cy="7868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75" cy="786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756"/>
    <w:multiLevelType w:val="hybridMultilevel"/>
    <w:tmpl w:val="525AD0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32F"/>
    <w:multiLevelType w:val="multilevel"/>
    <w:tmpl w:val="A5123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7D55C52"/>
    <w:multiLevelType w:val="multilevel"/>
    <w:tmpl w:val="01F2F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8C00F52"/>
    <w:multiLevelType w:val="multilevel"/>
    <w:tmpl w:val="0060D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1791980"/>
    <w:multiLevelType w:val="multilevel"/>
    <w:tmpl w:val="0C06B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DAD6110"/>
    <w:multiLevelType w:val="multilevel"/>
    <w:tmpl w:val="D96A5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ED"/>
    <w:rsid w:val="000465A8"/>
    <w:rsid w:val="004303F2"/>
    <w:rsid w:val="004D6761"/>
    <w:rsid w:val="00523DFF"/>
    <w:rsid w:val="006673D7"/>
    <w:rsid w:val="00782566"/>
    <w:rsid w:val="007C05ED"/>
    <w:rsid w:val="00872DFF"/>
    <w:rsid w:val="00951ECB"/>
    <w:rsid w:val="00961B78"/>
    <w:rsid w:val="00BC4CB9"/>
    <w:rsid w:val="00CD724D"/>
    <w:rsid w:val="00D22B3D"/>
    <w:rsid w:val="00DF1488"/>
    <w:rsid w:val="00E036A4"/>
    <w:rsid w:val="00E564C8"/>
    <w:rsid w:val="00E71C8F"/>
    <w:rsid w:val="00EE01C3"/>
    <w:rsid w:val="00F0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7D0A"/>
  <w15:chartTrackingRefBased/>
  <w15:docId w15:val="{32FDF773-D310-4A13-A21D-DD23596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2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DFF"/>
  </w:style>
  <w:style w:type="paragraph" w:styleId="Piedepgina">
    <w:name w:val="footer"/>
    <w:basedOn w:val="Normal"/>
    <w:link w:val="PiedepginaCar"/>
    <w:uiPriority w:val="99"/>
    <w:unhideWhenUsed/>
    <w:rsid w:val="00872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DFF"/>
  </w:style>
  <w:style w:type="character" w:styleId="Hipervnculo">
    <w:name w:val="Hyperlink"/>
    <w:basedOn w:val="Fuentedeprrafopredeter"/>
    <w:uiPriority w:val="99"/>
    <w:unhideWhenUsed/>
    <w:rsid w:val="00872D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voz.es/" TargetMode="External"/><Relationship Id="rId18" Type="http://schemas.openxmlformats.org/officeDocument/2006/relationships/hyperlink" Target="https://actitud.es/es/" TargetMode="External"/><Relationship Id="rId26" Type="http://schemas.openxmlformats.org/officeDocument/2006/relationships/hyperlink" Target="https://www.america-retail.com/" TargetMode="External"/><Relationship Id="rId39" Type="http://schemas.openxmlformats.org/officeDocument/2006/relationships/hyperlink" Target="https://www.retailactual.com/" TargetMode="External"/><Relationship Id="rId21" Type="http://schemas.openxmlformats.org/officeDocument/2006/relationships/hyperlink" Target="https://www.asociacionmkt.es/" TargetMode="External"/><Relationship Id="rId34" Type="http://schemas.openxmlformats.org/officeDocument/2006/relationships/hyperlink" Target="https://latamartech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xcong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obip.com/es/" TargetMode="External"/><Relationship Id="rId20" Type="http://schemas.openxmlformats.org/officeDocument/2006/relationships/hyperlink" Target="https://www.cyberclick.es/" TargetMode="External"/><Relationship Id="rId29" Type="http://schemas.openxmlformats.org/officeDocument/2006/relationships/hyperlink" Target="https://esenciademarketing.es/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ic.edu/corporate-education-formacion-empresas" TargetMode="External"/><Relationship Id="rId24" Type="http://schemas.openxmlformats.org/officeDocument/2006/relationships/hyperlink" Target="https://www.edicionespiramide.es/" TargetMode="External"/><Relationship Id="rId32" Type="http://schemas.openxmlformats.org/officeDocument/2006/relationships/hyperlink" Target="https://interactivadigital.com/" TargetMode="External"/><Relationship Id="rId37" Type="http://schemas.openxmlformats.org/officeDocument/2006/relationships/hyperlink" Target="https://novologistica.com/" TargetMode="External"/><Relationship Id="rId40" Type="http://schemas.openxmlformats.org/officeDocument/2006/relationships/hyperlink" Target="https://b2b.directivosygerentes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plio.com/es/" TargetMode="External"/><Relationship Id="rId23" Type="http://schemas.openxmlformats.org/officeDocument/2006/relationships/hyperlink" Target="https://escueladeventas.org/edve/" TargetMode="External"/><Relationship Id="rId28" Type="http://schemas.openxmlformats.org/officeDocument/2006/relationships/hyperlink" Target="https://dirigentesdigital.com/" TargetMode="External"/><Relationship Id="rId36" Type="http://schemas.openxmlformats.org/officeDocument/2006/relationships/hyperlink" Target="https://www.marketinginsiderreview.com/" TargetMode="External"/><Relationship Id="rId10" Type="http://schemas.openxmlformats.org/officeDocument/2006/relationships/hyperlink" Target="https://www.klarna.com/es/" TargetMode="External"/><Relationship Id="rId19" Type="http://schemas.openxmlformats.org/officeDocument/2006/relationships/hyperlink" Target="https://www.smartbox.com/es/smartbox-promociones-para-empresas/" TargetMode="External"/><Relationship Id="rId31" Type="http://schemas.openxmlformats.org/officeDocument/2006/relationships/hyperlink" Target="https://hiretail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ndesk.es/" TargetMode="External"/><Relationship Id="rId14" Type="http://schemas.openxmlformats.org/officeDocument/2006/relationships/hyperlink" Target="https://www.sap.com/index.html" TargetMode="External"/><Relationship Id="rId22" Type="http://schemas.openxmlformats.org/officeDocument/2006/relationships/hyperlink" Target="https://urbaneventmarketing.com/" TargetMode="External"/><Relationship Id="rId27" Type="http://schemas.openxmlformats.org/officeDocument/2006/relationships/hyperlink" Target="https://controlpublicidad.com/" TargetMode="External"/><Relationship Id="rId30" Type="http://schemas.openxmlformats.org/officeDocument/2006/relationships/hyperlink" Target="https://www.factoriadelfuturo.com/" TargetMode="External"/><Relationship Id="rId35" Type="http://schemas.openxmlformats.org/officeDocument/2006/relationships/hyperlink" Target="https://www.justretail.news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oracle.com/e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benta.com/es/" TargetMode="External"/><Relationship Id="rId17" Type="http://schemas.openxmlformats.org/officeDocument/2006/relationships/hyperlink" Target="https://www.eventtia.com/es/inicio" TargetMode="External"/><Relationship Id="rId25" Type="http://schemas.openxmlformats.org/officeDocument/2006/relationships/hyperlink" Target="https://www.anayamultimedia.es/" TargetMode="External"/><Relationship Id="rId33" Type="http://schemas.openxmlformats.org/officeDocument/2006/relationships/hyperlink" Target="https://lapublicidad.net/" TargetMode="External"/><Relationship Id="rId38" Type="http://schemas.openxmlformats.org/officeDocument/2006/relationships/hyperlink" Target="https://www.paradavisu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1217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2021-09-27T17:22:00Z</dcterms:created>
  <dcterms:modified xsi:type="dcterms:W3CDTF">2021-09-28T07:00:00Z</dcterms:modified>
</cp:coreProperties>
</file>